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AB" w:rsidRDefault="00F46B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6BAB" w:rsidRDefault="00F46BAB">
      <w:pPr>
        <w:pStyle w:val="ConsPlusNormal"/>
        <w:jc w:val="both"/>
        <w:outlineLvl w:val="0"/>
      </w:pPr>
    </w:p>
    <w:p w:rsidR="00F46BAB" w:rsidRDefault="00F46B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6BAB" w:rsidRDefault="00F46BAB">
      <w:pPr>
        <w:pStyle w:val="ConsPlusTitle"/>
        <w:jc w:val="center"/>
      </w:pPr>
    </w:p>
    <w:p w:rsidR="00F46BAB" w:rsidRDefault="00F46BAB">
      <w:pPr>
        <w:pStyle w:val="ConsPlusTitle"/>
        <w:jc w:val="center"/>
      </w:pPr>
      <w:r>
        <w:t>ПОСТАНОВЛЕНИЕ</w:t>
      </w:r>
    </w:p>
    <w:p w:rsidR="00F46BAB" w:rsidRDefault="00F46BAB">
      <w:pPr>
        <w:pStyle w:val="ConsPlusTitle"/>
        <w:jc w:val="center"/>
      </w:pPr>
      <w:r>
        <w:t>от 18 июня 2021 г. N 927</w:t>
      </w:r>
    </w:p>
    <w:p w:rsidR="00F46BAB" w:rsidRDefault="00F46BAB">
      <w:pPr>
        <w:pStyle w:val="ConsPlusTitle"/>
        <w:jc w:val="center"/>
      </w:pPr>
    </w:p>
    <w:p w:rsidR="00F46BAB" w:rsidRDefault="00F46BAB">
      <w:pPr>
        <w:pStyle w:val="ConsPlusTitle"/>
        <w:jc w:val="center"/>
      </w:pPr>
      <w:r>
        <w:t>О ВНЕСЕНИИ ИЗМЕНЕНИЙ</w:t>
      </w:r>
    </w:p>
    <w:p w:rsidR="00F46BAB" w:rsidRDefault="00F46BAB">
      <w:pPr>
        <w:pStyle w:val="ConsPlusTitle"/>
        <w:jc w:val="center"/>
      </w:pPr>
      <w:r>
        <w:t>В ПРОГРАММУ ГОСУДАРСТВЕННЫХ ГАРАНТИЙ БЕСПЛАТНОГО ОКАЗАНИЯ</w:t>
      </w:r>
    </w:p>
    <w:p w:rsidR="00F46BAB" w:rsidRDefault="00F46BAB">
      <w:pPr>
        <w:pStyle w:val="ConsPlusTitle"/>
        <w:jc w:val="center"/>
      </w:pPr>
      <w:r>
        <w:t xml:space="preserve">ГРАЖДАНАМ МЕДИЦИНСКОЙ ПОМОЩИ НА 2021 ГОД И </w:t>
      </w:r>
      <w:proofErr w:type="gramStart"/>
      <w:r>
        <w:t>НА</w:t>
      </w:r>
      <w:proofErr w:type="gramEnd"/>
      <w:r>
        <w:t xml:space="preserve"> ПЛАНОВЫЙ</w:t>
      </w:r>
    </w:p>
    <w:p w:rsidR="00F46BAB" w:rsidRDefault="00F46BAB">
      <w:pPr>
        <w:pStyle w:val="ConsPlusTitle"/>
        <w:jc w:val="center"/>
      </w:pPr>
      <w:r>
        <w:t>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Российский</w:t>
      </w:r>
      <w:proofErr w:type="gramEnd"/>
      <w:r>
        <w:t xml:space="preserve"> </w:t>
      </w:r>
      <w:proofErr w:type="gramStart"/>
      <w:r>
        <w:t>Федерации, 2021, N 2, ст. 384; N 12, ст. 2000).</w:t>
      </w:r>
      <w:proofErr w:type="gramEnd"/>
    </w:p>
    <w:p w:rsidR="00F46BAB" w:rsidRDefault="00F46BA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right"/>
      </w:pPr>
      <w:r>
        <w:t>Председатель Правительства</w:t>
      </w:r>
    </w:p>
    <w:p w:rsidR="00F46BAB" w:rsidRDefault="00F46BAB">
      <w:pPr>
        <w:pStyle w:val="ConsPlusNormal"/>
        <w:jc w:val="right"/>
      </w:pPr>
      <w:r>
        <w:t>Российской Федерации</w:t>
      </w:r>
    </w:p>
    <w:p w:rsidR="00F46BAB" w:rsidRDefault="00F46BAB">
      <w:pPr>
        <w:pStyle w:val="ConsPlusNormal"/>
        <w:jc w:val="right"/>
      </w:pPr>
      <w:r>
        <w:t>М.МИШУСТИН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right"/>
        <w:outlineLvl w:val="0"/>
      </w:pPr>
      <w:r>
        <w:t>Утверждены</w:t>
      </w:r>
    </w:p>
    <w:p w:rsidR="00F46BAB" w:rsidRDefault="00F46BAB">
      <w:pPr>
        <w:pStyle w:val="ConsPlusNormal"/>
        <w:jc w:val="right"/>
      </w:pPr>
      <w:r>
        <w:t>постановлением Правительства</w:t>
      </w:r>
    </w:p>
    <w:p w:rsidR="00F46BAB" w:rsidRDefault="00F46BAB">
      <w:pPr>
        <w:pStyle w:val="ConsPlusNormal"/>
        <w:jc w:val="right"/>
      </w:pPr>
      <w:r>
        <w:t>Российской Федерации</w:t>
      </w:r>
    </w:p>
    <w:p w:rsidR="00F46BAB" w:rsidRDefault="00F46BAB">
      <w:pPr>
        <w:pStyle w:val="ConsPlusNormal"/>
        <w:jc w:val="right"/>
      </w:pPr>
      <w:r>
        <w:t>от 18 июня 2021 г. N 927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Title"/>
        <w:jc w:val="center"/>
      </w:pPr>
      <w:bookmarkStart w:id="0" w:name="P28"/>
      <w:bookmarkEnd w:id="0"/>
      <w:r>
        <w:t>ИЗМЕНЕНИЯ,</w:t>
      </w:r>
    </w:p>
    <w:p w:rsidR="00F46BAB" w:rsidRDefault="00F46BAB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ПРОГРАММУ ГОСУДАРСТВЕННЫХ ГАРАНТИЙ</w:t>
      </w:r>
    </w:p>
    <w:p w:rsidR="00F46BAB" w:rsidRDefault="00F46BAB">
      <w:pPr>
        <w:pStyle w:val="ConsPlusTitle"/>
        <w:jc w:val="center"/>
      </w:pPr>
      <w:r>
        <w:t>БЕСПЛАТНОГО ОКАЗАНИЯ ГРАЖДАНАМ МЕДИЦИНСКОЙ ПОМОЩИ</w:t>
      </w:r>
    </w:p>
    <w:p w:rsidR="00F46BAB" w:rsidRDefault="00F46BAB">
      <w:pPr>
        <w:pStyle w:val="ConsPlusTitle"/>
        <w:jc w:val="center"/>
      </w:pPr>
      <w:r>
        <w:t>НА 2021 ГОД И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разделе IV</w:t>
        </w:r>
      </w:hyperlink>
      <w:r>
        <w:t>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а) после абзаца семнадцатого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"С 1 июля 2021 г. в дополнение к профилактическим медицинским осмотрам и диспансеризации граждане, переболевшие новой коронавирусной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N 4 (далее - углубленная диспансеризация).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lastRenderedPageBreak/>
        <w:t>Перечень медицинских организаций, осуществляющих углубленную диспансеризацию, и порядок их работы размещаются: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в отношении медицинских организаций, подведомственных органам исполнительной власти субъекта Российской Федерации, - органом исполнительной власти субъекта Российской Федерации в сфере охраны здоровья на его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в отношении федеральных медицинских организаций - федеральным органом исполнительной власти, осуществляющим функции и полномочия учредителя медицинской организации, на его официальном сайте в информационно-телекоммуникационной сети "Интернет", а также на едином портале.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F46BAB" w:rsidRDefault="00F46BAB">
      <w:pPr>
        <w:pStyle w:val="ConsPlusNormal"/>
        <w:spacing w:before="220"/>
        <w:ind w:firstLine="540"/>
        <w:jc w:val="both"/>
      </w:pPr>
      <w:proofErr w:type="gramStart"/>
      <w:r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</w:t>
      </w:r>
      <w:proofErr w:type="gramEnd"/>
      <w:r>
        <w:t xml:space="preserve">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>
        <w:t>дств св</w:t>
      </w:r>
      <w:proofErr w:type="gramEnd"/>
      <w:r>
        <w:t>язи.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Программе в течение одного дня.</w:t>
      </w:r>
    </w:p>
    <w:p w:rsidR="00F46BAB" w:rsidRDefault="00F46BAB">
      <w:pPr>
        <w:pStyle w:val="ConsPlusNormal"/>
        <w:spacing w:before="220"/>
        <w:ind w:firstLine="540"/>
        <w:jc w:val="both"/>
      </w:pPr>
      <w:proofErr w:type="gramStart"/>
      <w: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  <w:proofErr w:type="gramEnd"/>
    </w:p>
    <w:p w:rsidR="00F46BAB" w:rsidRDefault="00F46BAB">
      <w:pPr>
        <w:pStyle w:val="ConsPlusNormal"/>
        <w:spacing w:before="220"/>
        <w:ind w:firstLine="540"/>
        <w:jc w:val="both"/>
      </w:pPr>
      <w:r>
        <w:t>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страхования, в том числе по вопросам осуществления мониторинга прохождения углубленной диспансеризации и ее результатов</w:t>
      </w:r>
      <w:proofErr w:type="gramStart"/>
      <w:r>
        <w:t>.";</w:t>
      </w:r>
      <w:proofErr w:type="gramEnd"/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абзац восемнадцатый</w:t>
        </w:r>
      </w:hyperlink>
      <w:r>
        <w:t xml:space="preserve"> после слова "диспансеризации" дополнить словами ", в том числе углубленной</w:t>
      </w:r>
      <w:proofErr w:type="gramStart"/>
      <w:r>
        <w:t>,"</w:t>
      </w:r>
      <w:proofErr w:type="gramEnd"/>
      <w:r>
        <w:t>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в) </w:t>
      </w:r>
      <w:hyperlink r:id="rId10" w:history="1">
        <w:r>
          <w:rPr>
            <w:color w:val="0000FF"/>
          </w:rPr>
          <w:t>абзац девятнадцатый</w:t>
        </w:r>
      </w:hyperlink>
      <w:r>
        <w:t xml:space="preserve"> после слова "диспансеризации</w:t>
      </w:r>
      <w:proofErr w:type="gramStart"/>
      <w:r>
        <w:t>,"</w:t>
      </w:r>
      <w:proofErr w:type="gramEnd"/>
      <w:r>
        <w:t xml:space="preserve"> дополнить словами "включая </w:t>
      </w:r>
      <w:r>
        <w:lastRenderedPageBreak/>
        <w:t>углубленную диспансеризацию,".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Раздел V</w:t>
        </w:r>
      </w:hyperlink>
      <w:r>
        <w:t xml:space="preserve"> после абзаца шестого дополнить абзацем следующего содержания: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"углубленной диспансеризации,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</w:t>
      </w:r>
      <w:proofErr w:type="gramStart"/>
      <w:r>
        <w:t>;"</w:t>
      </w:r>
      <w:proofErr w:type="gramEnd"/>
      <w:r>
        <w:t>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3.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приложением N 4 следующего содержания: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right"/>
      </w:pPr>
      <w:r>
        <w:t>"Приложение N 4</w:t>
      </w:r>
    </w:p>
    <w:p w:rsidR="00F46BAB" w:rsidRDefault="00F46BAB">
      <w:pPr>
        <w:pStyle w:val="ConsPlusNormal"/>
        <w:jc w:val="right"/>
      </w:pPr>
      <w:r>
        <w:t>к Программе государственных гарантий</w:t>
      </w:r>
    </w:p>
    <w:p w:rsidR="00F46BAB" w:rsidRDefault="00F46BAB">
      <w:pPr>
        <w:pStyle w:val="ConsPlusNormal"/>
        <w:jc w:val="right"/>
      </w:pPr>
      <w:r>
        <w:t>бесплатного оказания гражданам</w:t>
      </w:r>
    </w:p>
    <w:p w:rsidR="00F46BAB" w:rsidRDefault="00F46BAB">
      <w:pPr>
        <w:pStyle w:val="ConsPlusNormal"/>
        <w:jc w:val="right"/>
      </w:pPr>
      <w:r>
        <w:t>медицинской помощи на 2021 год</w:t>
      </w:r>
    </w:p>
    <w:p w:rsidR="00F46BAB" w:rsidRDefault="00F46BAB">
      <w:pPr>
        <w:pStyle w:val="ConsPlusNormal"/>
        <w:jc w:val="right"/>
      </w:pPr>
      <w:r>
        <w:t>и на плановый период 2022 и 2023 годов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center"/>
      </w:pPr>
      <w:r>
        <w:t>ПЕРЕЧЕНЬ</w:t>
      </w:r>
    </w:p>
    <w:p w:rsidR="00F46BAB" w:rsidRDefault="00F46BAB">
      <w:pPr>
        <w:pStyle w:val="ConsPlusNormal"/>
        <w:jc w:val="center"/>
      </w:pPr>
      <w:r>
        <w:t>ИССЛЕДОВАНИЙ И ИНЫХ МЕДИЦИНСКИХ ВМЕШАТЕЛЬСТВ, ПРОВОДИМЫХ</w:t>
      </w:r>
    </w:p>
    <w:p w:rsidR="00F46BAB" w:rsidRDefault="00F46BAB">
      <w:pPr>
        <w:pStyle w:val="ConsPlusNormal"/>
        <w:jc w:val="center"/>
      </w:pPr>
      <w:r>
        <w:t>В РАМКАХ УГЛУБЛЕННОЙ ДИСПАНСЕРИЗАЦИИ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ind w:firstLine="540"/>
        <w:jc w:val="both"/>
      </w:pPr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а) измерение насыщения крови кислородом (сатурация) в покое;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в) проведение спирометрии или спирографии;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г) общий (клинический) анализ крови развернутый;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 xml:space="preserve">а) проведение эхокардиографии (в случае показателя сатурации в покое 94 процента и ниже, </w:t>
      </w:r>
      <w:r>
        <w:lastRenderedPageBreak/>
        <w:t>а также по результатам проведения теста с 6-минутной ходьбой);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F46BAB" w:rsidRDefault="00F46BAB">
      <w:pPr>
        <w:pStyle w:val="ConsPlusNormal"/>
        <w:spacing w:before="22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</w:t>
      </w:r>
      <w:proofErr w:type="gramStart"/>
      <w:r>
        <w:t>."</w:t>
      </w:r>
      <w:proofErr w:type="gramEnd"/>
      <w:r>
        <w:t>.</w:t>
      </w: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jc w:val="both"/>
      </w:pPr>
    </w:p>
    <w:p w:rsidR="00F46BAB" w:rsidRDefault="00F46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22A" w:rsidRDefault="0066722A">
      <w:bookmarkStart w:id="1" w:name="_GoBack"/>
      <w:bookmarkEnd w:id="1"/>
    </w:p>
    <w:sectPr w:rsidR="0066722A" w:rsidSect="00AB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AB"/>
    <w:rsid w:val="0066722A"/>
    <w:rsid w:val="00F4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01C7C890B583E131E9B47873A083CDCC7D58BF2F7071745062AFA4999D3EBF50398C527EAF8E667B803896A201E875144BC21396405933DH4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701C7C890B583E131E9B47873A083CDCC7D58BF2F7071745062AFA4999D3EBF50398C527EAF8E56EB803896A201E875144BC21396405933DH4H" TargetMode="External"/><Relationship Id="rId12" Type="http://schemas.openxmlformats.org/officeDocument/2006/relationships/hyperlink" Target="consultantplus://offline/ref=D9701C7C890B583E131E9B47873A083CDCC7D58BF2F7071745062AFA4999D3EBF50398C527EAF9E669B803896A201E875144BC21396405933DH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701C7C890B583E131E9B47873A083CDCC7D58BF2F7071745062AFA4999D3EBF50398C527EAF9E669B803896A201E875144BC21396405933DH4H" TargetMode="External"/><Relationship Id="rId11" Type="http://schemas.openxmlformats.org/officeDocument/2006/relationships/hyperlink" Target="consultantplus://offline/ref=D9701C7C890B583E131E9B47873A083CDCC7D58BF2F7071745062AFA4999D3EBF50398C527EAF8E268B803896A201E875144BC21396405933DH4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9701C7C890B583E131E9B47873A083CDCC7D58BF2F7071745062AFA4999D3EBF50398C527EAF8E76FB803896A201E875144BC21396405933D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701C7C890B583E131E9B47873A083CDCC7D58BF2F7071745062AFA4999D3EBF50398C527EAF8E666B803896A201E875144BC21396405933DH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Мария</dc:creator>
  <cp:lastModifiedBy>Безрукова Мария</cp:lastModifiedBy>
  <cp:revision>1</cp:revision>
  <dcterms:created xsi:type="dcterms:W3CDTF">2021-07-16T07:07:00Z</dcterms:created>
  <dcterms:modified xsi:type="dcterms:W3CDTF">2021-07-16T07:16:00Z</dcterms:modified>
</cp:coreProperties>
</file>